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仿宋_GB2312" w:hAnsi="楷体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spacing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2024</w:t>
      </w:r>
      <w:r>
        <w:rPr>
          <w:rFonts w:hint="eastAsia" w:ascii="方正小标宋简体" w:hAnsi="黑体" w:eastAsia="方正小标宋简体"/>
          <w:sz w:val="36"/>
          <w:szCs w:val="36"/>
        </w:rPr>
        <w:t>年度全国教育科学规划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项目选题</w:t>
      </w:r>
      <w:r>
        <w:rPr>
          <w:rFonts w:hint="eastAsia" w:ascii="方正小标宋简体" w:hAnsi="黑体" w:eastAsia="方正小标宋简体"/>
          <w:sz w:val="36"/>
          <w:szCs w:val="36"/>
        </w:rPr>
        <w:t>指南</w:t>
      </w:r>
    </w:p>
    <w:p/>
    <w:p>
      <w:pPr>
        <w:spacing w:before="156" w:beforeLines="50" w:after="156" w:afterLines="50" w:line="600" w:lineRule="exact"/>
        <w:ind w:firstLine="640" w:firstLineChars="200"/>
        <w:rPr>
          <w:rFonts w:hint="eastAsia"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全国教育科学规划年度项目指国家重点、一般、青年、西部项目，教育部重点、青年项目。选题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指南分为重点条目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和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重要方向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类。申报国家重点项目必须从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相应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条目中选择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val="en-US" w:eastAsia="zh-CN"/>
        </w:rPr>
        <w:t>不予受理。如确有需要，可对选题进行适当微调，但不得大幅压缩或改变研究内容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。每个选题原则上只确立1个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立项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申报其他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类别项目</w:t>
      </w:r>
      <w:r>
        <w:rPr>
          <w:rFonts w:hint="eastAsia" w:ascii="仿宋_GB2312" w:hAnsi="Times New Roman" w:eastAsia="仿宋_GB2312"/>
          <w:color w:val="auto"/>
          <w:sz w:val="32"/>
          <w:szCs w:val="32"/>
        </w:rPr>
        <w:t>可以自拟选题</w:t>
      </w:r>
      <w:r>
        <w:rPr>
          <w:rFonts w:hint="eastAsia" w:ascii="仿宋_GB2312" w:hAnsi="Times New Roman" w:eastAsia="仿宋_GB2312"/>
          <w:color w:val="auto"/>
          <w:sz w:val="32"/>
          <w:szCs w:val="32"/>
          <w:lang w:eastAsia="zh-CN"/>
        </w:rPr>
        <w:t>。</w:t>
      </w:r>
    </w:p>
    <w:p>
      <w:pPr>
        <w:spacing w:before="156" w:beforeLines="50" w:after="156" w:afterLines="50" w:line="600" w:lineRule="exact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156" w:beforeLines="50" w:after="156" w:afterLines="50" w:line="600" w:lineRule="exact"/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重点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条目</w:t>
      </w:r>
    </w:p>
    <w:p>
      <w:pPr>
        <w:spacing w:before="156" w:beforeLines="50" w:after="156" w:afterLines="50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中国教育学建设研究系列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马克思主义教育思想理论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新时代教育功能与属性研究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中国教育传统的哲学阐释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教育公平实践的理论建构研究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中国</w:t>
      </w:r>
      <w:r>
        <w:rPr>
          <w:rFonts w:hint="eastAsia" w:ascii="仿宋_GB2312" w:eastAsia="仿宋_GB2312"/>
          <w:sz w:val="32"/>
          <w:szCs w:val="32"/>
        </w:rPr>
        <w:t>教育普及实践的理论建构研究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中国数字教育实践的理论建构研究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教育学教学研究体系深层变革研究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高校</w:t>
      </w:r>
      <w:r>
        <w:rPr>
          <w:rFonts w:hint="eastAsia" w:ascii="仿宋_GB2312" w:eastAsia="仿宋_GB2312"/>
          <w:sz w:val="32"/>
          <w:szCs w:val="32"/>
        </w:rPr>
        <w:t>新型教育学院建设研究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《中国教育学建设指导意见》编制研究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《中国教育学论纲》教材编写研究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教育强国建设阶段性指标与评估研究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0-6岁托幼一体化研究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适应学龄人口波动的中小学一贯制办学研究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国家中小学教材质量监测</w:t>
      </w:r>
      <w:r>
        <w:rPr>
          <w:rFonts w:hint="eastAsia" w:ascii="仿宋_GB2312" w:eastAsia="仿宋_GB2312"/>
          <w:sz w:val="32"/>
          <w:szCs w:val="32"/>
          <w:lang w:eastAsia="zh-CN"/>
        </w:rPr>
        <w:t>体系</w:t>
      </w:r>
      <w:r>
        <w:rPr>
          <w:rFonts w:hint="eastAsia" w:ascii="仿宋_GB2312" w:eastAsia="仿宋_GB2312"/>
          <w:sz w:val="32"/>
          <w:szCs w:val="32"/>
        </w:rPr>
        <w:t>与评价</w:t>
      </w:r>
      <w:r>
        <w:rPr>
          <w:rFonts w:hint="eastAsia" w:ascii="仿宋_GB2312" w:eastAsia="仿宋_GB2312"/>
          <w:sz w:val="32"/>
          <w:szCs w:val="32"/>
          <w:lang w:eastAsia="zh-CN"/>
        </w:rPr>
        <w:t>机制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市县结合的基础教育管理体制研究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基础教育学制改革研究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hint="eastAsia" w:ascii="仿宋_GB2312" w:eastAsia="仿宋_GB2312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全球大学生创新指数研究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博士研究生教育全球竞争力比较研究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孤独症群体全生命周期培养体系构建</w:t>
      </w:r>
      <w:r>
        <w:rPr>
          <w:rFonts w:hint="eastAsia" w:ascii="仿宋_GB2312" w:eastAsia="仿宋_GB2312"/>
          <w:sz w:val="32"/>
          <w:szCs w:val="32"/>
          <w:lang w:eastAsia="zh-CN"/>
        </w:rPr>
        <w:t>和标准</w:t>
      </w:r>
      <w:r>
        <w:rPr>
          <w:rFonts w:hint="eastAsia" w:ascii="仿宋_GB2312" w:eastAsia="仿宋_GB2312"/>
          <w:sz w:val="32"/>
          <w:szCs w:val="32"/>
        </w:rPr>
        <w:t>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全国学生心理健康监测体系研究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健康学校建设指标体系研究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综合性大学毕业入职教师职业发展跟踪研究</w:t>
      </w:r>
    </w:p>
    <w:p>
      <w:pPr>
        <w:numPr>
          <w:ilvl w:val="0"/>
          <w:numId w:val="1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国家智慧教育公共服务平台应用示范标准研究</w:t>
      </w:r>
    </w:p>
    <w:p>
      <w:pPr>
        <w:pStyle w:val="2"/>
      </w:pPr>
    </w:p>
    <w:p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重要方向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教育与人口双向影响研究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高质量教育体系研究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拔尖创新人才一体化培养研究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重大战略区域教育现代化研究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教育扩大中等收入群体机制研究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教育对经济社会发展贡献研究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区域整体发展素质教育研究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港澳教育融入教育强国建设研究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人口变动下教育标准调整研究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教育法典编纂研究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基于文化自信的教育自信研究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新时代教育实践经验理论建构研究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新中国成立75周年教育的进步观研究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社会的教育观念史研究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人工智能时代核心素养导向的基础教育课程改革研究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“三科”教材使用情况调查研究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数字教材研究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苏区红色教材收集整理研究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学龄人口变动背景下“小班化”教学研究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学区化集团化办学评估研究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多子女同校就读（长幼随学）实践调查研究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普通高中学生素质素养监测研究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数字化时代中小学科学教育新特征研究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中小学生科学素养评价研究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学校体育改革路径研究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学校美育评价体系建设研究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劳动教育内容与实施国际比较研究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新时代教研体系建设研究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新型工业化背景下行业产教融合共同体推进路径研究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职业教育数字化转型升级研究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面向2035年高等教育布局结构研究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部省合建高校振兴中西部高等教育研究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地方高校服务区域高质量发展研究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新型研究型大学研究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第二轮“双一流”建设绩效评价研究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大学生学术思维能力培育研究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高校战略紧缺和新兴交叉学科建设研究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高校提高人才自主培养质量的课程体系建设研究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涉外法治人才培养研究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公费师范生本研衔接培养研究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师范院校核心办学指标监测研究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专业学位研究生培养质量监测研究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工程硕博士培养模式改革研究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大中小学铸牢中华民族共同体意识教育一体化研究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民族教育理论重构研究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民族地区教育事业发展调查研究  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面向民族地区普通话推广的语言学习研究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总体国家安全视域下边境教育发展研究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当代中国教育家群像研究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教育家精神课程教材资源开发研究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教师节40年叙事研究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人机复合教师研究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Z世代班主任辅导员工作研究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中小学教师非教育教学负担治理研究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心理健康教师专业标准研究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高校文科师资队伍现状调查研究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高校思政课教师教育能力评价研究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教育收费政策体系研究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学校、社会、数字三维教育空间融合研究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脑科学的教育应用研究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大语言模型教育应用研究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数字人文人才培养研究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中小学人工智能伦理教育研究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大学生学习过程数字化建模与评估研究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数智赋能高校评估新范式研究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基于数字基座的学习型社会建设研究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教育数字化转型中学习科学理论创新研究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数字教育中的意识形态安全风险及应对研究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数字教育立法研究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国际中文教育专业建设研究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语言国情国力调查研究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教育制度型开放研究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世界主要国家外语教育政策研究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一带一路国家教育合作研究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国际教育援助实施机制研究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中国高校境外办学研究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来华留学本科教育评价标准研究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联合国教科文组织STEM一类中心建设研究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联合国2030年可持续发展议程教育目标（SDG4）中国进展监测研究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新中国成立75周年学生资助档案文献整理研究</w:t>
      </w:r>
      <w:bookmarkStart w:id="0" w:name="_GoBack"/>
      <w:bookmarkEnd w:id="0"/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新中国成立75周年教育理论刊物发展研究</w:t>
      </w:r>
    </w:p>
    <w:p>
      <w:pPr>
        <w:numPr>
          <w:ilvl w:val="0"/>
          <w:numId w:val="2"/>
        </w:num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经典教育文本研究</w:t>
      </w:r>
    </w:p>
    <w:p>
      <w:pPr>
        <w:spacing w:before="156" w:beforeLines="50" w:after="156" w:afterLines="50" w:line="600" w:lineRule="exac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rPr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D4C90"/>
    <w:multiLevelType w:val="singleLevel"/>
    <w:tmpl w:val="59ED4C9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60DEDAB3"/>
    <w:multiLevelType w:val="singleLevel"/>
    <w:tmpl w:val="60DEDAB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ZjcxMGNiMDE5NjA1ZThlMjBkMmY1MjA1MTY3NGIifQ=="/>
  </w:docVars>
  <w:rsids>
    <w:rsidRoot w:val="1C437727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6EB5126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spacing w:after="12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2024-04-07T01:11:00Z</dcterms:created>
  <dc:creator>初见</dc:creator>
  <cp:lastModifiedBy>王兴超</cp:lastModifiedBy>
  <cp:lastPrinted>2024-04-24T03:21:00Z</cp:lastPrinted>
  <dcterms:modified xsi:type="dcterms:W3CDTF">2024-05-06T02:18:51Z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EDB7D6AD16B640A792E7FA0E985AAAC6_11</vt:lpwstr>
  </property>
</Properties>
</file>